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1C5" w:rsidRDefault="001271C5" w:rsidP="001271C5">
      <w:pPr>
        <w:widowControl w:val="0"/>
        <w:spacing w:before="100" w:beforeAutospacing="1" w:after="100" w:afterAutospacing="1" w:line="360" w:lineRule="auto"/>
        <w:ind w:right="-164"/>
        <w:jc w:val="both"/>
        <w:rPr>
          <w:rFonts w:ascii="Palatino Linotype" w:hAnsi="Palatino Linotype" w:cs="Arial"/>
          <w:b/>
        </w:rPr>
      </w:pPr>
      <w:r w:rsidRPr="0007653D">
        <w:rPr>
          <w:rFonts w:ascii="Palatino Linotype" w:hAnsi="Palatino Linotype" w:cs="Arial"/>
          <w:b/>
        </w:rPr>
        <w:t>VOTO PARTICULAR QUE FORMULA LA COMISIONADA EVA ABAID YAPUR, EN RELACIÓN CON LA RESOLUCIÓN DICTADA POR EL PLENO DEL INSTITUTO DE TRANSPARENCIA, ACCESO A LA INFORMACIÓN PÚBLICA Y PROTECCIÓN DE DATOS PERSONALES DEL ESTAD</w:t>
      </w:r>
      <w:r>
        <w:rPr>
          <w:rFonts w:ascii="Palatino Linotype" w:hAnsi="Palatino Linotype" w:cs="Arial"/>
          <w:b/>
        </w:rPr>
        <w:t xml:space="preserve">O DE MÉXICO Y MUNICIPIOS, EN LA CUARTA </w:t>
      </w:r>
      <w:r w:rsidRPr="0007653D">
        <w:rPr>
          <w:rFonts w:ascii="Palatino Linotype" w:hAnsi="Palatino Linotype" w:cs="Arial"/>
          <w:b/>
        </w:rPr>
        <w:t xml:space="preserve">SESIÓN ORDINARIA DE </w:t>
      </w:r>
      <w:r>
        <w:rPr>
          <w:rFonts w:ascii="Palatino Linotype" w:hAnsi="Palatino Linotype" w:cs="Arial"/>
          <w:b/>
        </w:rPr>
        <w:t xml:space="preserve">TREINTA DE ENERO DE DOS MIL DIECINUEVE, EN EL </w:t>
      </w:r>
      <w:r w:rsidRPr="0007653D">
        <w:rPr>
          <w:rFonts w:ascii="Palatino Linotype" w:hAnsi="Palatino Linotype" w:cs="Arial"/>
          <w:b/>
        </w:rPr>
        <w:t xml:space="preserve">RECURSO DE REVISIÓN </w:t>
      </w:r>
      <w:r w:rsidRPr="00E67EF8">
        <w:rPr>
          <w:rFonts w:ascii="Palatino Linotype" w:hAnsi="Palatino Linotype" w:cs="Arial"/>
          <w:b/>
          <w:bCs/>
          <w:lang w:eastAsia="es-MX"/>
        </w:rPr>
        <w:t>0</w:t>
      </w:r>
      <w:r>
        <w:rPr>
          <w:rFonts w:ascii="Palatino Linotype" w:hAnsi="Palatino Linotype" w:cs="Arial"/>
          <w:b/>
          <w:bCs/>
          <w:lang w:eastAsia="es-MX"/>
        </w:rPr>
        <w:t>4295</w:t>
      </w:r>
      <w:r w:rsidRPr="00E67EF8">
        <w:rPr>
          <w:rFonts w:ascii="Palatino Linotype" w:hAnsi="Palatino Linotype" w:cs="Arial"/>
          <w:b/>
          <w:bCs/>
          <w:lang w:eastAsia="es-MX"/>
        </w:rPr>
        <w:t>/INFOEM/IP/RR/2018</w:t>
      </w:r>
      <w:r>
        <w:rPr>
          <w:rFonts w:ascii="Palatino Linotype" w:hAnsi="Palatino Linotype" w:cs="Arial"/>
          <w:b/>
          <w:bCs/>
          <w:lang w:eastAsia="es-MX"/>
        </w:rPr>
        <w:t>.</w:t>
      </w:r>
    </w:p>
    <w:p w:rsidR="001271C5" w:rsidRPr="00E42755" w:rsidRDefault="001271C5" w:rsidP="001271C5">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w:t>
      </w:r>
      <w:r>
        <w:rPr>
          <w:rFonts w:ascii="Palatino Linotype" w:hAnsi="Palatino Linotype" w:cs="Arial"/>
        </w:rPr>
        <w:t xml:space="preserve">to de la resolución dictada en el </w:t>
      </w:r>
      <w:r w:rsidRPr="00E42755">
        <w:rPr>
          <w:rFonts w:ascii="Palatino Linotype" w:hAnsi="Palatino Linotype" w:cs="Arial"/>
        </w:rPr>
        <w:t>recurso</w:t>
      </w:r>
      <w:r>
        <w:rPr>
          <w:rFonts w:ascii="Palatino Linotype" w:hAnsi="Palatino Linotype" w:cs="Arial"/>
        </w:rPr>
        <w:t xml:space="preserve"> </w:t>
      </w:r>
      <w:r w:rsidRPr="00E42755">
        <w:rPr>
          <w:rFonts w:ascii="Palatino Linotype" w:hAnsi="Palatino Linotype" w:cs="Arial"/>
        </w:rPr>
        <w:t>de revisión</w:t>
      </w:r>
      <w:r>
        <w:rPr>
          <w:rFonts w:ascii="Palatino Linotype" w:hAnsi="Palatino Linotype" w:cs="Arial"/>
        </w:rPr>
        <w:t xml:space="preserve"> </w:t>
      </w:r>
      <w:r>
        <w:rPr>
          <w:rFonts w:ascii="Palatino Linotype" w:hAnsi="Palatino Linotype" w:cs="Arial"/>
          <w:b/>
          <w:bCs/>
          <w:lang w:eastAsia="es-MX"/>
        </w:rPr>
        <w:t>04395/INFOEM/IP/RR/2018</w:t>
      </w:r>
      <w:r>
        <w:rPr>
          <w:rFonts w:ascii="Palatino Linotype" w:hAnsi="Palatino Linotype" w:cs="Arial"/>
        </w:rPr>
        <w:t xml:space="preserve">, </w:t>
      </w:r>
      <w:r w:rsidRPr="00E42755">
        <w:rPr>
          <w:rFonts w:ascii="Palatino Linotype" w:hAnsi="Palatino Linotype" w:cs="Arial"/>
        </w:rPr>
        <w:t xml:space="preserve">pronunciada por el Pleno de este Instituto ante el proyecto presentado por </w:t>
      </w:r>
      <w:r>
        <w:rPr>
          <w:rFonts w:ascii="Palatino Linotype" w:hAnsi="Palatino Linotype" w:cs="Arial"/>
        </w:rPr>
        <w:t xml:space="preserve">la </w:t>
      </w:r>
      <w:r w:rsidRPr="00E42755">
        <w:rPr>
          <w:rFonts w:ascii="Palatino Linotype" w:hAnsi="Palatino Linotype" w:cs="Arial"/>
        </w:rPr>
        <w:t>Comisionad</w:t>
      </w:r>
      <w:r>
        <w:rPr>
          <w:rFonts w:ascii="Palatino Linotype" w:hAnsi="Palatino Linotype" w:cs="Arial"/>
        </w:rPr>
        <w:t xml:space="preserve">a Presidenta </w:t>
      </w:r>
      <w:r>
        <w:rPr>
          <w:rFonts w:ascii="Palatino Linotype" w:hAnsi="Palatino Linotype" w:cs="Arial"/>
          <w:b/>
        </w:rPr>
        <w:t>ZULEMA MARTÍNEZ SÁNCHEZ</w:t>
      </w:r>
      <w:r w:rsidRPr="0007653D">
        <w:rPr>
          <w:rFonts w:ascii="Palatino Linotype" w:hAnsi="Palatino Linotype" w:cs="Arial"/>
        </w:rPr>
        <w:t xml:space="preserve">, </w:t>
      </w:r>
      <w:r>
        <w:rPr>
          <w:rFonts w:ascii="Palatino Linotype" w:hAnsi="Palatino Linotype" w:cs="Arial"/>
        </w:rPr>
        <w:t>que es del tenor siguiente.</w:t>
      </w:r>
    </w:p>
    <w:p w:rsidR="001271C5" w:rsidRDefault="001271C5" w:rsidP="001271C5">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Pr>
          <w:rFonts w:ascii="Palatino Linotype" w:hAnsi="Palatino Linotype"/>
        </w:rPr>
        <w:t>el</w:t>
      </w:r>
      <w:r w:rsidRPr="00D93A88">
        <w:rPr>
          <w:rFonts w:ascii="Palatino Linotype" w:hAnsi="Palatino Linotype"/>
        </w:rPr>
        <w:t xml:space="preserve"> particular </w:t>
      </w:r>
      <w:r>
        <w:rPr>
          <w:rFonts w:ascii="Palatino Linotype" w:hAnsi="Palatino Linotype"/>
        </w:rPr>
        <w:t xml:space="preserve">requirió del </w:t>
      </w:r>
      <w:r>
        <w:rPr>
          <w:rFonts w:ascii="Palatino Linotype" w:hAnsi="Palatino Linotype"/>
          <w:b/>
        </w:rPr>
        <w:t xml:space="preserve">Ayuntamiento de Atizapán de Zaragoza, </w:t>
      </w:r>
      <w:r>
        <w:rPr>
          <w:rFonts w:ascii="Palatino Linotype" w:hAnsi="Palatino Linotype"/>
        </w:rPr>
        <w:t xml:space="preserve">en lo sucesivo </w:t>
      </w:r>
      <w:r>
        <w:rPr>
          <w:rFonts w:ascii="Palatino Linotype" w:hAnsi="Palatino Linotype"/>
          <w:b/>
        </w:rPr>
        <w:t xml:space="preserve">EL SUJETO OBLIGADO, </w:t>
      </w:r>
      <w:r>
        <w:rPr>
          <w:rFonts w:ascii="Palatino Linotype" w:hAnsi="Palatino Linotype"/>
        </w:rPr>
        <w:t>se le informara si un lote ubicado en el Municipio se encontraba dentro del inventario de bienes inmuebles del Ayuntamiento.</w:t>
      </w:r>
    </w:p>
    <w:p w:rsidR="001271C5" w:rsidRDefault="001271C5" w:rsidP="001271C5">
      <w:pPr>
        <w:spacing w:line="360" w:lineRule="auto"/>
        <w:jc w:val="both"/>
        <w:rPr>
          <w:rFonts w:ascii="Palatino Linotype" w:hAnsi="Palatino Linotype" w:cs="Arial"/>
        </w:rPr>
      </w:pPr>
      <w:r>
        <w:rPr>
          <w:rFonts w:ascii="Palatino Linotype" w:hAnsi="Palatino Linotype" w:cs="Arial"/>
        </w:rPr>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 lo medular de su respuesta refirió lo que a continuación se inserta:</w:t>
      </w:r>
    </w:p>
    <w:p w:rsidR="001271C5" w:rsidRDefault="001271C5" w:rsidP="001271C5">
      <w:pPr>
        <w:spacing w:line="360" w:lineRule="auto"/>
        <w:jc w:val="center"/>
        <w:rPr>
          <w:rFonts w:ascii="Palatino Linotype" w:hAnsi="Palatino Linotype" w:cs="Arial"/>
        </w:rPr>
      </w:pPr>
      <w:r>
        <w:rPr>
          <w:noProof/>
          <w:lang w:val="es-MX" w:eastAsia="es-MX"/>
        </w:rPr>
        <w:lastRenderedPageBreak/>
        <w:drawing>
          <wp:inline distT="0" distB="0" distL="0" distR="0" wp14:anchorId="60046FD5" wp14:editId="3FB08BAB">
            <wp:extent cx="5104951" cy="771690"/>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47" t="55967" r="18050" b="32189"/>
                    <a:stretch/>
                  </pic:blipFill>
                  <pic:spPr bwMode="auto">
                    <a:xfrm>
                      <a:off x="0" y="0"/>
                      <a:ext cx="5246621" cy="793106"/>
                    </a:xfrm>
                    <a:prstGeom prst="rect">
                      <a:avLst/>
                    </a:prstGeom>
                    <a:ln>
                      <a:noFill/>
                    </a:ln>
                    <a:extLst>
                      <a:ext uri="{53640926-AAD7-44D8-BBD7-CCE9431645EC}">
                        <a14:shadowObscured xmlns:a14="http://schemas.microsoft.com/office/drawing/2010/main"/>
                      </a:ext>
                    </a:extLst>
                  </pic:spPr>
                </pic:pic>
              </a:graphicData>
            </a:graphic>
          </wp:inline>
        </w:drawing>
      </w:r>
    </w:p>
    <w:p w:rsidR="001271C5" w:rsidRDefault="001271C5" w:rsidP="001271C5">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t xml:space="preserve">Inconforme con la respuesta proporcionada por </w:t>
      </w:r>
      <w:r>
        <w:rPr>
          <w:rFonts w:ascii="Palatino Linotype" w:hAnsi="Palatino Linotype"/>
          <w:b/>
          <w:color w:val="000000"/>
          <w:lang w:val="es-MX" w:eastAsia="es-MX"/>
        </w:rPr>
        <w:t xml:space="preserve">EL SUJETO OBLIGADO, </w:t>
      </w:r>
      <w:r>
        <w:rPr>
          <w:rFonts w:ascii="Palatino Linotype" w:hAnsi="Palatino Linotype"/>
          <w:color w:val="000000"/>
          <w:lang w:val="es-MX" w:eastAsia="es-MX"/>
        </w:rPr>
        <w:t xml:space="preserve">el particular </w:t>
      </w:r>
      <w:r>
        <w:rPr>
          <w:rFonts w:ascii="Palatino Linotype" w:hAnsi="Palatino Linotype" w:cs="Arial"/>
        </w:rPr>
        <w:t>interpuso el recurso de revisión de mérito.</w:t>
      </w:r>
    </w:p>
    <w:p w:rsidR="00227FB6" w:rsidRPr="00227FB6" w:rsidRDefault="00227FB6" w:rsidP="001271C5">
      <w:pPr>
        <w:spacing w:before="100" w:beforeAutospacing="1" w:after="100" w:afterAutospacing="1" w:line="360" w:lineRule="auto"/>
        <w:jc w:val="both"/>
        <w:rPr>
          <w:rFonts w:ascii="Palatino Linotype" w:hAnsi="Palatino Linotype" w:cs="Arial"/>
        </w:rPr>
      </w:pPr>
      <w:r w:rsidRPr="00227FB6">
        <w:rPr>
          <w:rFonts w:ascii="Palatino Linotype" w:hAnsi="Palatino Linotype" w:cs="Arial"/>
        </w:rPr>
        <w:t xml:space="preserve">Bajo ese orden de ideas, </w:t>
      </w:r>
      <w:r w:rsidRPr="00227FB6">
        <w:rPr>
          <w:rFonts w:ascii="Palatino Linotype" w:hAnsi="Palatino Linotype" w:cs="Arial"/>
          <w:b/>
        </w:rPr>
        <w:t xml:space="preserve">EL SUJETO OBLIGADO </w:t>
      </w:r>
      <w:r w:rsidRPr="00227FB6">
        <w:rPr>
          <w:rFonts w:ascii="Palatino Linotype" w:hAnsi="Palatino Linotype" w:cs="Arial"/>
        </w:rPr>
        <w:t>mediante Informe Justificado ratificó su respuesta.</w:t>
      </w:r>
    </w:p>
    <w:p w:rsidR="001271C5" w:rsidRDefault="001271C5" w:rsidP="001271C5">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e</w:t>
      </w:r>
      <w:r w:rsidR="00227FB6">
        <w:rPr>
          <w:rFonts w:ascii="Palatino Linotype" w:hAnsi="Palatino Linotype"/>
        </w:rPr>
        <w:t xml:space="preserve">l </w:t>
      </w:r>
      <w:r w:rsidRPr="00A01905">
        <w:rPr>
          <w:rFonts w:ascii="Palatino Linotype" w:hAnsi="Palatino Linotype"/>
        </w:rPr>
        <w:t>expediente electrónico</w:t>
      </w:r>
      <w:r>
        <w:rPr>
          <w:rFonts w:ascii="Palatino Linotype" w:hAnsi="Palatino Linotype" w:cs="Arial"/>
        </w:rPr>
        <w:t xml:space="preserve"> la Ponencia Resolutora determinó </w:t>
      </w:r>
      <w:r w:rsidR="00227FB6">
        <w:rPr>
          <w:rFonts w:ascii="Palatino Linotype" w:hAnsi="Palatino Linotype" w:cs="Arial"/>
          <w:b/>
        </w:rPr>
        <w:t>REVOCAR</w:t>
      </w:r>
      <w:r>
        <w:rPr>
          <w:rFonts w:ascii="Palatino Linotype" w:hAnsi="Palatino Linotype" w:cs="Arial"/>
          <w:b/>
        </w:rPr>
        <w:t xml:space="preserve"> </w:t>
      </w:r>
      <w:r w:rsidR="00C50BDC">
        <w:rPr>
          <w:rFonts w:ascii="Palatino Linotype" w:hAnsi="Palatino Linotype" w:cs="Arial"/>
        </w:rPr>
        <w:t xml:space="preserve">la respuesta del </w:t>
      </w:r>
      <w:r w:rsidR="00C50BDC">
        <w:rPr>
          <w:rFonts w:ascii="Palatino Linotype" w:hAnsi="Palatino Linotype" w:cs="Arial"/>
          <w:b/>
        </w:rPr>
        <w:t xml:space="preserve">SUJETO OBLIGADO </w:t>
      </w:r>
      <w:r>
        <w:rPr>
          <w:rFonts w:ascii="Palatino Linotype" w:hAnsi="Palatino Linotype" w:cs="Arial"/>
        </w:rPr>
        <w:t xml:space="preserve">y ordenar la entrega vía SAIMEX </w:t>
      </w:r>
      <w:r w:rsidR="00C50BDC">
        <w:rPr>
          <w:rFonts w:ascii="Palatino Linotype" w:hAnsi="Palatino Linotype" w:cs="Arial"/>
        </w:rPr>
        <w:t xml:space="preserve">previa búsqueda exhaustiva y razonable, en versión pública en caso de ser procedente del o los documentos donde conste o de los cuales se pueda advertir lo siguiente: </w:t>
      </w:r>
    </w:p>
    <w:p w:rsidR="00C50BDC" w:rsidRPr="00C50BDC" w:rsidRDefault="00C50BDC" w:rsidP="00C50BDC">
      <w:pPr>
        <w:pStyle w:val="Prrafodelista"/>
        <w:numPr>
          <w:ilvl w:val="0"/>
          <w:numId w:val="2"/>
        </w:numPr>
        <w:tabs>
          <w:tab w:val="left" w:pos="1701"/>
        </w:tabs>
        <w:ind w:left="851" w:right="899" w:firstLine="0"/>
        <w:jc w:val="both"/>
        <w:rPr>
          <w:rFonts w:ascii="Palatino Linotype" w:hAnsi="Palatino Linotype"/>
          <w:i/>
          <w:color w:val="000000"/>
        </w:rPr>
      </w:pPr>
      <w:r w:rsidRPr="00C50BDC">
        <w:rPr>
          <w:rFonts w:ascii="Palatino Linotype" w:hAnsi="Palatino Linotype"/>
          <w:i/>
          <w:color w:val="000000"/>
        </w:rPr>
        <w:t xml:space="preserve">Respecto del inmueble referido en la solicitud de información </w:t>
      </w:r>
      <w:r w:rsidRPr="00C50BDC">
        <w:rPr>
          <w:rFonts w:ascii="Palatino Linotype" w:hAnsi="Palatino Linotype" w:cs="Arial"/>
          <w:b/>
          <w:bCs/>
          <w:i/>
          <w:color w:val="333333"/>
        </w:rPr>
        <w:t>00341/ATIZARA/IP/2018,</w:t>
      </w:r>
      <w:r w:rsidRPr="00C50BDC">
        <w:rPr>
          <w:rFonts w:ascii="Palatino Linotype" w:hAnsi="Palatino Linotype" w:cs="Arial"/>
          <w:bCs/>
          <w:i/>
          <w:color w:val="333333"/>
        </w:rPr>
        <w:t xml:space="preserve"> si éste se encuentra dentro del </w:t>
      </w:r>
      <w:r w:rsidRPr="00C50BDC">
        <w:rPr>
          <w:rFonts w:ascii="Palatino Linotype" w:hAnsi="Palatino Linotype"/>
          <w:i/>
          <w:color w:val="000000"/>
        </w:rPr>
        <w:t>inventario de bienes inmuebles del sujeto obligado</w:t>
      </w:r>
      <w:r w:rsidRPr="00C50BDC">
        <w:rPr>
          <w:rFonts w:ascii="Palatino Linotype" w:hAnsi="Palatino Linotype" w:cs="Arial"/>
          <w:bCs/>
          <w:i/>
          <w:color w:val="333333"/>
        </w:rPr>
        <w:t xml:space="preserve"> vigente al quince de octubre de dos mil dieciocho</w:t>
      </w:r>
      <w:r w:rsidRPr="00C50BDC">
        <w:rPr>
          <w:rFonts w:ascii="Palatino Linotype" w:hAnsi="Palatino Linotype"/>
          <w:i/>
          <w:color w:val="000000"/>
        </w:rPr>
        <w:t>.</w:t>
      </w:r>
    </w:p>
    <w:p w:rsidR="00C50BDC" w:rsidRPr="00C50BDC" w:rsidRDefault="00C50BDC" w:rsidP="00C50BDC">
      <w:pPr>
        <w:pStyle w:val="Sinespaciado"/>
        <w:ind w:left="851" w:right="899"/>
        <w:jc w:val="both"/>
        <w:rPr>
          <w:rFonts w:ascii="Palatino Linotype" w:hAnsi="Palatino Linotype"/>
          <w:i/>
          <w:sz w:val="22"/>
          <w:szCs w:val="22"/>
          <w:lang w:val="es-ES_tradnl"/>
        </w:rPr>
      </w:pPr>
    </w:p>
    <w:p w:rsidR="00C50BDC" w:rsidRPr="00C50BDC" w:rsidRDefault="00C50BDC" w:rsidP="00C50BDC">
      <w:pPr>
        <w:pStyle w:val="Sinespaciado"/>
        <w:ind w:left="851" w:right="899"/>
        <w:jc w:val="both"/>
        <w:rPr>
          <w:rFonts w:ascii="Palatino Linotype" w:hAnsi="Palatino Linotype"/>
          <w:i/>
          <w:sz w:val="22"/>
          <w:szCs w:val="22"/>
        </w:rPr>
      </w:pPr>
      <w:r w:rsidRPr="00C50BDC">
        <w:rPr>
          <w:rFonts w:ascii="Palatino Linotype" w:hAnsi="Palatino Linotype"/>
          <w:i/>
          <w:sz w:val="22"/>
          <w:szCs w:val="22"/>
          <w:lang w:val="es-ES_tradnl"/>
        </w:rPr>
        <w:t xml:space="preserve">En el supuesto de que el inmueble referido por el </w:t>
      </w:r>
      <w:r w:rsidRPr="00C50BDC">
        <w:rPr>
          <w:rFonts w:ascii="Palatino Linotype" w:hAnsi="Palatino Linotype"/>
          <w:b/>
          <w:i/>
          <w:sz w:val="22"/>
          <w:szCs w:val="22"/>
          <w:lang w:val="es-ES_tradnl"/>
        </w:rPr>
        <w:t xml:space="preserve">Recurrente </w:t>
      </w:r>
      <w:r w:rsidRPr="00C50BDC">
        <w:rPr>
          <w:rFonts w:ascii="Palatino Linotype" w:hAnsi="Palatino Linotype"/>
          <w:i/>
          <w:sz w:val="22"/>
          <w:szCs w:val="22"/>
          <w:lang w:val="es-ES_tradnl"/>
        </w:rPr>
        <w:t>sea propiedad de un particular, se deberá entregar el Acuerdo de Clasificación de Información como confidencial, en términos de los artículos 122 y 143, fracción I, de la Ley de Transparencia y Acceso a la Información Pública del Estado de México y Municipios, de acuerdo con lo establecido en la presente resolución.</w:t>
      </w:r>
    </w:p>
    <w:p w:rsidR="001C3F30" w:rsidRDefault="001271C5" w:rsidP="001271C5">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n ese sentido, la que suscribe si bien coincide en</w:t>
      </w:r>
      <w:r>
        <w:rPr>
          <w:rFonts w:ascii="Palatino Linotype" w:hAnsi="Palatino Linotype" w:cs="Arial"/>
          <w:lang w:val="es-MX"/>
        </w:rPr>
        <w:t xml:space="preserve"> con las causas que dieron origen a los recursos de revisión de mérito,</w:t>
      </w:r>
      <w:r w:rsidRPr="004F3DBF">
        <w:rPr>
          <w:rFonts w:ascii="Palatino Linotype" w:hAnsi="Palatino Linotype" w:cs="Arial"/>
          <w:lang w:val="es-MX"/>
        </w:rPr>
        <w:t xml:space="preserve"> difiero respecto </w:t>
      </w:r>
      <w:r>
        <w:rPr>
          <w:rFonts w:ascii="Palatino Linotype" w:hAnsi="Palatino Linotype" w:cs="Arial"/>
          <w:lang w:val="es-MX"/>
        </w:rPr>
        <w:t>al sentido en que se resolvi</w:t>
      </w:r>
      <w:r w:rsidR="00C50BDC">
        <w:rPr>
          <w:rFonts w:ascii="Palatino Linotype" w:hAnsi="Palatino Linotype" w:cs="Arial"/>
          <w:lang w:val="es-MX"/>
        </w:rPr>
        <w:t xml:space="preserve">ó el recurso de revisión. </w:t>
      </w:r>
      <w:r w:rsidRPr="00CC4B86">
        <w:rPr>
          <w:rFonts w:ascii="Palatino Linotype" w:hAnsi="Palatino Linotype" w:cs="Arial"/>
          <w:lang w:val="es-MX"/>
        </w:rPr>
        <w:t xml:space="preserve">Lo anterior es así, debido a que </w:t>
      </w:r>
      <w:r>
        <w:rPr>
          <w:rFonts w:ascii="Palatino Linotype" w:hAnsi="Palatino Linotype" w:cs="Arial"/>
          <w:lang w:val="es-MX"/>
        </w:rPr>
        <w:t xml:space="preserve">a criterio de la suscrita lo procedente era </w:t>
      </w:r>
      <w:r w:rsidR="00C50BDC">
        <w:rPr>
          <w:rFonts w:ascii="Palatino Linotype" w:hAnsi="Palatino Linotype" w:cs="Arial"/>
          <w:lang w:val="es-MX"/>
        </w:rPr>
        <w:t xml:space="preserve">sobreseer el mismo, </w:t>
      </w:r>
      <w:r>
        <w:rPr>
          <w:rFonts w:ascii="Palatino Linotype" w:hAnsi="Palatino Linotype" w:cs="Arial"/>
          <w:lang w:val="es-MX"/>
        </w:rPr>
        <w:t xml:space="preserve">ello de acuerdo a que </w:t>
      </w:r>
      <w:r w:rsidR="00C50BDC">
        <w:rPr>
          <w:rFonts w:ascii="Palatino Linotype" w:hAnsi="Palatino Linotype" w:cs="Arial"/>
          <w:b/>
          <w:lang w:val="es-MX"/>
        </w:rPr>
        <w:t xml:space="preserve">EL SUJETO OBLIGADO </w:t>
      </w:r>
      <w:r w:rsidR="00C50BDC">
        <w:rPr>
          <w:rFonts w:ascii="Palatino Linotype" w:hAnsi="Palatino Linotype" w:cs="Arial"/>
          <w:lang w:val="es-MX"/>
        </w:rPr>
        <w:lastRenderedPageBreak/>
        <w:t xml:space="preserve">mediante la respuesta emitida por el Servidor Público Habilitado de la Subdirección del Patrimonio Municipal, señaló que el lote respecto del cual el particular </w:t>
      </w:r>
      <w:r w:rsidR="00BD0FBA">
        <w:rPr>
          <w:rFonts w:ascii="Palatino Linotype" w:hAnsi="Palatino Linotype" w:cs="Arial"/>
          <w:lang w:val="es-MX"/>
        </w:rPr>
        <w:t xml:space="preserve">pretende obtener la información, </w:t>
      </w:r>
      <w:r w:rsidR="00C50BDC">
        <w:rPr>
          <w:rFonts w:ascii="Palatino Linotype" w:hAnsi="Palatino Linotype" w:cs="Arial"/>
          <w:lang w:val="es-MX"/>
        </w:rPr>
        <w:t xml:space="preserve">se encontraba en proceso de integración del expediente técnico ante el Instituto del Suelo Sustentable “INSUS” para su entrega y escrituración a favor del Ayuntamiento; por lo que, a criterio de la suscrita lo procedente era que la Ponencia Resolutora hubiera utilizado un criterio exhaustivo tanto en el análisis de la solicitud de información como de la respuesta y así, determinar que </w:t>
      </w:r>
      <w:r>
        <w:rPr>
          <w:rFonts w:ascii="Palatino Linotype" w:hAnsi="Palatino Linotype" w:cs="Arial"/>
          <w:lang w:val="es-MX"/>
        </w:rPr>
        <w:t xml:space="preserve">al haber existido un pronunciamiento por parte del </w:t>
      </w:r>
      <w:r>
        <w:rPr>
          <w:rFonts w:ascii="Palatino Linotype" w:hAnsi="Palatino Linotype" w:cs="Arial"/>
          <w:b/>
          <w:lang w:val="es-MX"/>
        </w:rPr>
        <w:t xml:space="preserve">SUJETO OBLIGADO </w:t>
      </w:r>
      <w:r>
        <w:rPr>
          <w:rFonts w:ascii="Palatino Linotype" w:hAnsi="Palatino Linotype" w:cs="Arial"/>
          <w:lang w:val="es-MX"/>
        </w:rPr>
        <w:t>en atención a</w:t>
      </w:r>
      <w:r w:rsidR="001C3F30">
        <w:rPr>
          <w:rFonts w:ascii="Palatino Linotype" w:hAnsi="Palatino Linotype" w:cs="Arial"/>
          <w:lang w:val="es-MX"/>
        </w:rPr>
        <w:t>l requerimiento planteado por el</w:t>
      </w:r>
      <w:r>
        <w:rPr>
          <w:rFonts w:ascii="Palatino Linotype" w:hAnsi="Palatino Linotype" w:cs="Arial"/>
          <w:lang w:val="es-MX"/>
        </w:rPr>
        <w:t xml:space="preserve"> particular, y </w:t>
      </w:r>
      <w:r w:rsidR="00BD0FBA">
        <w:rPr>
          <w:rFonts w:ascii="Palatino Linotype" w:hAnsi="Palatino Linotype" w:cs="Arial"/>
          <w:lang w:val="es-MX"/>
        </w:rPr>
        <w:t xml:space="preserve">a que, </w:t>
      </w:r>
      <w:r>
        <w:rPr>
          <w:rFonts w:ascii="Palatino Linotype" w:hAnsi="Palatino Linotype" w:cs="Arial"/>
          <w:lang w:val="es-MX"/>
        </w:rPr>
        <w:t xml:space="preserve">quien emitió la respuesta fue el Servidor Público Habilitado competente, </w:t>
      </w:r>
      <w:r w:rsidR="00BD0FBA">
        <w:rPr>
          <w:rFonts w:ascii="Palatino Linotype" w:hAnsi="Palatino Linotype" w:cs="Arial"/>
          <w:lang w:val="es-MX"/>
        </w:rPr>
        <w:t xml:space="preserve">por lo que lo </w:t>
      </w:r>
      <w:r>
        <w:rPr>
          <w:rFonts w:ascii="Palatino Linotype" w:hAnsi="Palatino Linotype" w:cs="Arial"/>
          <w:lang w:val="es-MX"/>
        </w:rPr>
        <w:t xml:space="preserve">procedente era </w:t>
      </w:r>
      <w:r w:rsidR="001C3F30">
        <w:rPr>
          <w:rFonts w:ascii="Palatino Linotype" w:hAnsi="Palatino Linotype" w:cs="Arial"/>
          <w:lang w:val="es-MX"/>
        </w:rPr>
        <w:t>sobreseer el recurso de revisión con fundamento en el artículo 192, fracción V de la Ley de Transparencia y Acceso a la Información Pública del Estado de México y Municipios</w:t>
      </w:r>
      <w:r w:rsidR="001C3F30">
        <w:rPr>
          <w:rStyle w:val="Refdenotaalpie"/>
          <w:rFonts w:ascii="Palatino Linotype" w:hAnsi="Palatino Linotype" w:cs="Arial"/>
          <w:lang w:val="es-MX"/>
        </w:rPr>
        <w:footnoteReference w:id="1"/>
      </w:r>
      <w:r w:rsidR="001C3F30">
        <w:rPr>
          <w:rFonts w:ascii="Palatino Linotype" w:hAnsi="Palatino Linotype" w:cs="Arial"/>
          <w:lang w:val="es-MX"/>
        </w:rPr>
        <w:t>.</w:t>
      </w:r>
    </w:p>
    <w:p w:rsidR="00BD0FBA" w:rsidRDefault="00BD0FBA" w:rsidP="00BD0FB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val="es-MX"/>
        </w:rPr>
      </w:pPr>
      <w:r>
        <w:rPr>
          <w:rFonts w:ascii="Palatino Linotype" w:hAnsi="Palatino Linotype" w:cs="Arial"/>
          <w:sz w:val="24"/>
          <w:szCs w:val="24"/>
          <w:lang w:val="es-MX"/>
        </w:rPr>
        <w:t>Asimismo, resultaba improcedente  referir o incluir el párrafo en el que se prevé que para el caso de ser propiedad de un particular, puesto que se insiste que con el pronunciamiento del Servidor Público Habilitado se tendría por atendida la solicitud de acceso a la información.</w:t>
      </w:r>
    </w:p>
    <w:p w:rsidR="001271C5" w:rsidRPr="001C3F30" w:rsidRDefault="001C3F30" w:rsidP="00BD0FB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Pr>
          <w:rFonts w:ascii="Palatino Linotype" w:hAnsi="Palatino Linotype" w:cs="Arial"/>
          <w:sz w:val="24"/>
          <w:szCs w:val="24"/>
          <w:lang w:val="es-MX"/>
        </w:rPr>
        <w:t xml:space="preserve">Es decir, </w:t>
      </w:r>
      <w:r w:rsidR="001271C5" w:rsidRPr="007C041F">
        <w:rPr>
          <w:rFonts w:ascii="Palatino Linotype" w:hAnsi="Palatino Linotype" w:cs="Arial"/>
          <w:sz w:val="24"/>
          <w:szCs w:val="24"/>
          <w:lang w:val="es-MX"/>
        </w:rPr>
        <w:t xml:space="preserve">lo </w:t>
      </w:r>
      <w:r w:rsidR="001271C5">
        <w:rPr>
          <w:rFonts w:ascii="Palatino Linotype" w:hAnsi="Palatino Linotype" w:cs="Arial"/>
          <w:sz w:val="24"/>
          <w:szCs w:val="24"/>
          <w:lang w:val="es-MX"/>
        </w:rPr>
        <w:t>manifestado</w:t>
      </w:r>
      <w:r w:rsidR="001271C5" w:rsidRPr="007C041F">
        <w:rPr>
          <w:rFonts w:ascii="Palatino Linotype" w:hAnsi="Palatino Linotype" w:cs="Arial"/>
          <w:sz w:val="24"/>
          <w:szCs w:val="24"/>
          <w:lang w:val="es-MX"/>
        </w:rPr>
        <w:t xml:space="preserve"> </w:t>
      </w:r>
      <w:r w:rsidR="001271C5">
        <w:rPr>
          <w:rFonts w:ascii="Palatino Linotype" w:hAnsi="Palatino Linotype" w:cs="Arial"/>
          <w:sz w:val="24"/>
          <w:szCs w:val="24"/>
          <w:lang w:val="es-MX"/>
        </w:rPr>
        <w:t xml:space="preserve">en respuesta </w:t>
      </w:r>
      <w:r w:rsidR="001271C5" w:rsidRPr="007C041F">
        <w:rPr>
          <w:rFonts w:ascii="Palatino Linotype" w:hAnsi="Palatino Linotype" w:cs="Arial"/>
          <w:sz w:val="24"/>
          <w:szCs w:val="24"/>
          <w:lang w:val="es-MX"/>
        </w:rPr>
        <w:t xml:space="preserve">por </w:t>
      </w:r>
      <w:r w:rsidR="001271C5" w:rsidRPr="007C041F">
        <w:rPr>
          <w:rFonts w:ascii="Palatino Linotype" w:hAnsi="Palatino Linotype" w:cs="Arial"/>
          <w:b/>
          <w:sz w:val="24"/>
          <w:szCs w:val="24"/>
          <w:lang w:val="es-MX"/>
        </w:rPr>
        <w:t xml:space="preserve">EL SUJETO OBLIGADO </w:t>
      </w:r>
      <w:r w:rsidR="001271C5" w:rsidRPr="007C041F">
        <w:rPr>
          <w:rFonts w:ascii="Palatino Linotype" w:hAnsi="Palatino Linotype" w:cs="Arial"/>
          <w:sz w:val="24"/>
          <w:szCs w:val="24"/>
          <w:lang w:val="es-MX"/>
        </w:rPr>
        <w:t xml:space="preserve">constituye un </w:t>
      </w:r>
      <w:r w:rsidR="001271C5">
        <w:rPr>
          <w:rFonts w:ascii="Palatino Linotype" w:hAnsi="Palatino Linotype" w:cs="Arial"/>
          <w:sz w:val="24"/>
          <w:szCs w:val="24"/>
          <w:lang w:val="es-MX"/>
        </w:rPr>
        <w:t xml:space="preserve">argumento en sentido </w:t>
      </w:r>
      <w:r w:rsidR="001271C5" w:rsidRPr="007C041F">
        <w:rPr>
          <w:rFonts w:ascii="Palatino Linotype" w:hAnsi="Palatino Linotype" w:cs="Arial"/>
          <w:sz w:val="24"/>
          <w:szCs w:val="24"/>
          <w:lang w:val="es-MX"/>
        </w:rPr>
        <w:t>negativo</w:t>
      </w:r>
      <w:r w:rsidR="001271C5">
        <w:rPr>
          <w:rFonts w:ascii="Palatino Linotype" w:hAnsi="Palatino Linotype" w:cs="Arial"/>
          <w:sz w:val="24"/>
          <w:szCs w:val="24"/>
          <w:lang w:val="es-MX"/>
        </w:rPr>
        <w:t xml:space="preserve">, razón por la cual, </w:t>
      </w:r>
      <w:r w:rsidR="001271C5" w:rsidRPr="007C041F">
        <w:rPr>
          <w:rFonts w:ascii="Palatino Linotype" w:hAnsi="Palatino Linotype" w:cs="Arial"/>
          <w:sz w:val="24"/>
          <w:szCs w:val="24"/>
        </w:rPr>
        <w:t>es evidente que</w:t>
      </w:r>
      <w:r>
        <w:rPr>
          <w:rFonts w:ascii="Palatino Linotype" w:hAnsi="Palatino Linotype" w:cs="Arial"/>
          <w:sz w:val="24"/>
          <w:szCs w:val="24"/>
        </w:rPr>
        <w:t xml:space="preserve"> la información solicitada </w:t>
      </w:r>
      <w:r w:rsidR="001271C5" w:rsidRPr="007C041F">
        <w:rPr>
          <w:rFonts w:ascii="Palatino Linotype" w:hAnsi="Palatino Linotype" w:cs="Arial"/>
          <w:sz w:val="24"/>
          <w:szCs w:val="24"/>
        </w:rPr>
        <w:t xml:space="preserve">no puede fácticamente obrar en </w:t>
      </w:r>
      <w:r>
        <w:rPr>
          <w:rFonts w:ascii="Palatino Linotype" w:hAnsi="Palatino Linotype" w:cs="Arial"/>
          <w:sz w:val="24"/>
          <w:szCs w:val="24"/>
        </w:rPr>
        <w:t xml:space="preserve">sus </w:t>
      </w:r>
      <w:r w:rsidR="001271C5" w:rsidRPr="007C041F">
        <w:rPr>
          <w:rFonts w:ascii="Palatino Linotype" w:hAnsi="Palatino Linotype" w:cs="Arial"/>
          <w:sz w:val="24"/>
          <w:szCs w:val="24"/>
        </w:rPr>
        <w:t xml:space="preserve">archivos, ya que no puede probarse por </w:t>
      </w:r>
      <w:r w:rsidR="001271C5" w:rsidRPr="007C041F">
        <w:rPr>
          <w:rFonts w:ascii="Palatino Linotype" w:hAnsi="Palatino Linotype" w:cs="Arial"/>
          <w:sz w:val="24"/>
          <w:szCs w:val="24"/>
        </w:rPr>
        <w:lastRenderedPageBreak/>
        <w:t>ser l</w:t>
      </w:r>
      <w:r>
        <w:rPr>
          <w:rFonts w:ascii="Palatino Linotype" w:hAnsi="Palatino Linotype" w:cs="Arial"/>
          <w:sz w:val="24"/>
          <w:szCs w:val="24"/>
        </w:rPr>
        <w:t>ógica y materialmente imposible, destacando que</w:t>
      </w:r>
      <w:r w:rsidR="001271C5" w:rsidRPr="001C3F30">
        <w:rPr>
          <w:rFonts w:ascii="Palatino Linotype" w:hAnsi="Palatino Linotype" w:cs="Arial"/>
          <w:sz w:val="24"/>
          <w:szCs w:val="24"/>
        </w:rPr>
        <w:t>,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1271C5" w:rsidRPr="000E4409" w:rsidRDefault="001271C5" w:rsidP="001271C5">
      <w:pPr>
        <w:ind w:left="709" w:right="758"/>
        <w:jc w:val="both"/>
        <w:rPr>
          <w:rFonts w:ascii="Palatino Linotype" w:hAnsi="Palatino Linotype"/>
          <w:b/>
          <w:i/>
          <w:sz w:val="22"/>
        </w:rPr>
      </w:pPr>
      <w:r w:rsidRPr="000E4409">
        <w:rPr>
          <w:rFonts w:ascii="Palatino Linotype" w:hAnsi="Palatino Linotype"/>
          <w:b/>
          <w:i/>
          <w:sz w:val="22"/>
        </w:rPr>
        <w:t xml:space="preserve">HECHOS NEGATIVOS, NO SON SUSCEPTIBLES DE DEMOSTRACIÓN. </w:t>
      </w:r>
    </w:p>
    <w:p w:rsidR="001271C5" w:rsidRPr="000E4409" w:rsidRDefault="001271C5" w:rsidP="001271C5">
      <w:pPr>
        <w:ind w:left="709" w:right="758"/>
        <w:jc w:val="both"/>
        <w:rPr>
          <w:rFonts w:ascii="Palatino Linotype" w:hAnsi="Palatino Linotype"/>
          <w:i/>
          <w:sz w:val="22"/>
        </w:rPr>
      </w:pPr>
      <w:r w:rsidRPr="000E4409">
        <w:rPr>
          <w:rFonts w:ascii="Palatino Linotype" w:hAnsi="Palatino Linotype"/>
          <w:i/>
          <w:sz w:val="22"/>
        </w:rPr>
        <w:t xml:space="preserve">Tratándose de un hecho negativo, el Juez no tiene </w:t>
      </w:r>
      <w:proofErr w:type="spellStart"/>
      <w:r w:rsidRPr="000E4409">
        <w:rPr>
          <w:rFonts w:ascii="Palatino Linotype" w:hAnsi="Palatino Linotype"/>
          <w:i/>
          <w:sz w:val="22"/>
        </w:rPr>
        <w:t>por que</w:t>
      </w:r>
      <w:proofErr w:type="spellEnd"/>
      <w:r w:rsidRPr="000E4409">
        <w:rPr>
          <w:rFonts w:ascii="Palatino Linotype" w:hAnsi="Palatino Linotype"/>
          <w:i/>
          <w:sz w:val="22"/>
        </w:rPr>
        <w:t xml:space="preserve"> invocar prueba alguna de la que se desprenda, ya que es bien sabido que esta clase de hechos no son susceptibles de demostración.</w:t>
      </w:r>
    </w:p>
    <w:p w:rsidR="001271C5" w:rsidRPr="007E5751" w:rsidRDefault="001271C5" w:rsidP="001271C5">
      <w:pPr>
        <w:spacing w:before="100" w:beforeAutospacing="1" w:after="100" w:afterAutospacing="1"/>
        <w:ind w:left="709" w:right="758"/>
        <w:jc w:val="both"/>
        <w:rPr>
          <w:rFonts w:ascii="Palatino Linotype" w:hAnsi="Palatino Linotype"/>
          <w:i/>
          <w:sz w:val="22"/>
        </w:rPr>
      </w:pPr>
      <w:r w:rsidRPr="000E4409">
        <w:rPr>
          <w:rFonts w:ascii="Palatino Linotype" w:hAnsi="Palatino Linotype"/>
          <w:i/>
          <w:sz w:val="22"/>
        </w:rPr>
        <w:t>Amparo en revisión 2022/61. José García Florín (Menor). 9 de octubre de 1961. Cinco votos. Ponente: José Rivera Pérez Campos.”</w:t>
      </w:r>
    </w:p>
    <w:p w:rsidR="00BD0FBA" w:rsidRDefault="001271C5" w:rsidP="001271C5">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se insiste en que lo procedente en relación con el sentido en que se resolvió </w:t>
      </w:r>
      <w:r>
        <w:rPr>
          <w:rFonts w:ascii="Palatino Linotype" w:hAnsi="Palatino Linotype" w:cs="Arial"/>
          <w:lang w:val="es-MX"/>
        </w:rPr>
        <w:t xml:space="preserve">el recurso de revisión </w:t>
      </w:r>
      <w:r w:rsidR="001C3F30">
        <w:rPr>
          <w:rFonts w:ascii="Palatino Linotype" w:hAnsi="Palatino Linotype" w:cs="Arial"/>
          <w:lang w:val="es-MX"/>
        </w:rPr>
        <w:t xml:space="preserve">de mérito, </w:t>
      </w:r>
      <w:r w:rsidRPr="009B7AFF">
        <w:rPr>
          <w:rFonts w:ascii="Palatino Linotype" w:hAnsi="Palatino Linotype" w:cs="Arial"/>
        </w:rPr>
        <w:t>era que la P</w:t>
      </w:r>
      <w:r>
        <w:rPr>
          <w:rFonts w:ascii="Palatino Linotype" w:hAnsi="Palatino Linotype" w:cs="Arial"/>
        </w:rPr>
        <w:t xml:space="preserve">onencia Resolutora </w:t>
      </w:r>
      <w:bookmarkStart w:id="0" w:name="_GoBack"/>
      <w:bookmarkEnd w:id="0"/>
      <w:r>
        <w:rPr>
          <w:rFonts w:ascii="Palatino Linotype" w:hAnsi="Palatino Linotype" w:cs="Arial"/>
        </w:rPr>
        <w:t xml:space="preserve">determinara </w:t>
      </w:r>
      <w:r w:rsidR="001C3F30">
        <w:rPr>
          <w:rFonts w:ascii="Palatino Linotype" w:hAnsi="Palatino Linotype" w:cs="Arial"/>
        </w:rPr>
        <w:t xml:space="preserve">sobreseerlo, </w:t>
      </w:r>
      <w:r>
        <w:rPr>
          <w:rFonts w:ascii="Palatino Linotype" w:hAnsi="Palatino Linotype" w:cs="Arial"/>
        </w:rPr>
        <w:t xml:space="preserve">pues se debió analizar el pronunciamiento </w:t>
      </w:r>
      <w:r w:rsidR="001C3F30">
        <w:rPr>
          <w:rFonts w:ascii="Palatino Linotype" w:hAnsi="Palatino Linotype" w:cs="Arial"/>
        </w:rPr>
        <w:t xml:space="preserve">del </w:t>
      </w:r>
      <w:r w:rsidR="001C3F30">
        <w:rPr>
          <w:rFonts w:ascii="Palatino Linotype" w:hAnsi="Palatino Linotype" w:cs="Arial"/>
          <w:b/>
        </w:rPr>
        <w:t>SUJETO OBLIGADO</w:t>
      </w:r>
      <w:r w:rsidR="00BD0FBA">
        <w:rPr>
          <w:rFonts w:ascii="Palatino Linotype" w:hAnsi="Palatino Linotype" w:cs="Arial"/>
          <w:b/>
        </w:rPr>
        <w:t xml:space="preserve">, </w:t>
      </w:r>
      <w:r w:rsidR="00BD0FBA">
        <w:rPr>
          <w:rFonts w:ascii="Palatino Linotype" w:hAnsi="Palatino Linotype" w:cs="Arial"/>
        </w:rPr>
        <w:t>mismo con el que quedó sin materia el medio de impugnación al rubro anotado.</w:t>
      </w:r>
    </w:p>
    <w:p w:rsidR="001271C5" w:rsidRDefault="001271C5" w:rsidP="001271C5">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1271C5" w:rsidRPr="001950C9" w:rsidTr="009E3162">
        <w:trPr>
          <w:jc w:val="center"/>
        </w:trPr>
        <w:tc>
          <w:tcPr>
            <w:tcW w:w="4393" w:type="dxa"/>
          </w:tcPr>
          <w:p w:rsidR="00012347" w:rsidRDefault="00012347" w:rsidP="009E3162">
            <w:pPr>
              <w:jc w:val="center"/>
              <w:rPr>
                <w:rFonts w:ascii="Palatino Linotype" w:hAnsi="Palatino Linotype"/>
                <w:b/>
              </w:rPr>
            </w:pPr>
          </w:p>
          <w:p w:rsidR="00012347" w:rsidRDefault="00012347" w:rsidP="009E3162">
            <w:pPr>
              <w:jc w:val="center"/>
              <w:rPr>
                <w:rFonts w:ascii="Palatino Linotype" w:hAnsi="Palatino Linotype"/>
                <w:b/>
              </w:rPr>
            </w:pPr>
          </w:p>
          <w:p w:rsidR="00012347" w:rsidRDefault="00012347" w:rsidP="009E3162">
            <w:pPr>
              <w:jc w:val="center"/>
              <w:rPr>
                <w:rFonts w:ascii="Palatino Linotype" w:hAnsi="Palatino Linotype"/>
                <w:b/>
              </w:rPr>
            </w:pPr>
          </w:p>
          <w:p w:rsidR="001271C5" w:rsidRPr="001950C9" w:rsidRDefault="001271C5" w:rsidP="009E3162">
            <w:pPr>
              <w:jc w:val="center"/>
              <w:rPr>
                <w:rFonts w:ascii="Palatino Linotype" w:hAnsi="Palatino Linotype"/>
                <w:b/>
              </w:rPr>
            </w:pPr>
            <w:r w:rsidRPr="001950C9">
              <w:rPr>
                <w:rFonts w:ascii="Palatino Linotype" w:hAnsi="Palatino Linotype"/>
                <w:b/>
              </w:rPr>
              <w:t>EVA ABAID YAPUR</w:t>
            </w:r>
          </w:p>
          <w:p w:rsidR="001271C5" w:rsidRPr="001950C9" w:rsidRDefault="001271C5" w:rsidP="00012347">
            <w:pPr>
              <w:jc w:val="center"/>
              <w:rPr>
                <w:rFonts w:ascii="Palatino Linotype" w:hAnsi="Palatino Linotype"/>
                <w:b/>
              </w:rPr>
            </w:pPr>
            <w:r w:rsidRPr="001950C9">
              <w:rPr>
                <w:rFonts w:ascii="Palatino Linotype" w:hAnsi="Palatino Linotype"/>
                <w:b/>
              </w:rPr>
              <w:t>COMISIONADA</w:t>
            </w:r>
          </w:p>
        </w:tc>
      </w:tr>
    </w:tbl>
    <w:p w:rsidR="00BD0FBA" w:rsidRDefault="00BD0FBA" w:rsidP="001271C5">
      <w:pPr>
        <w:jc w:val="both"/>
        <w:rPr>
          <w:rFonts w:ascii="Palatino Linotype" w:eastAsia="Calibri" w:hAnsi="Palatino Linotype" w:cs="Arial"/>
          <w:color w:val="000000" w:themeColor="text1"/>
          <w:sz w:val="20"/>
          <w:szCs w:val="20"/>
        </w:rPr>
      </w:pPr>
    </w:p>
    <w:p w:rsidR="001271C5" w:rsidRDefault="001271C5" w:rsidP="001271C5">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de</w:t>
      </w:r>
      <w:r w:rsidR="001C3F30">
        <w:rPr>
          <w:rFonts w:ascii="Palatino Linotype" w:eastAsia="Calibri" w:hAnsi="Palatino Linotype" w:cs="Arial"/>
          <w:color w:val="000000" w:themeColor="text1"/>
          <w:sz w:val="20"/>
          <w:szCs w:val="20"/>
        </w:rPr>
        <w:t>l</w:t>
      </w:r>
      <w:r w:rsidRPr="001950C9">
        <w:rPr>
          <w:rFonts w:ascii="Palatino Linotype" w:eastAsia="Calibri" w:hAnsi="Palatino Linotype" w:cs="Arial"/>
          <w:color w:val="000000" w:themeColor="text1"/>
          <w:sz w:val="20"/>
          <w:szCs w:val="20"/>
        </w:rPr>
        <w:t xml:space="preserve"> recurso de revisión 0</w:t>
      </w:r>
      <w:r w:rsidR="001C3F30">
        <w:rPr>
          <w:rFonts w:ascii="Palatino Linotype" w:eastAsia="Calibri" w:hAnsi="Palatino Linotype" w:cs="Arial"/>
          <w:color w:val="000000" w:themeColor="text1"/>
          <w:sz w:val="20"/>
          <w:szCs w:val="20"/>
        </w:rPr>
        <w:t>4395</w:t>
      </w:r>
      <w:r w:rsidRPr="001950C9">
        <w:rPr>
          <w:rFonts w:ascii="Palatino Linotype" w:eastAsia="Calibri" w:hAnsi="Palatino Linotype" w:cs="Arial"/>
          <w:color w:val="000000" w:themeColor="text1"/>
          <w:sz w:val="20"/>
          <w:szCs w:val="20"/>
        </w:rPr>
        <w:t>/INFOEM/IP/RR/201</w:t>
      </w:r>
      <w:r>
        <w:rPr>
          <w:rFonts w:ascii="Palatino Linotype" w:eastAsia="Calibri" w:hAnsi="Palatino Linotype" w:cs="Arial"/>
          <w:color w:val="000000" w:themeColor="text1"/>
          <w:sz w:val="20"/>
          <w:szCs w:val="20"/>
        </w:rPr>
        <w:t>8, aprobada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treinta de </w:t>
      </w:r>
      <w:r w:rsidR="001C3F30">
        <w:rPr>
          <w:rFonts w:ascii="Palatino Linotype" w:eastAsia="Calibri" w:hAnsi="Palatino Linotype" w:cs="Arial"/>
          <w:color w:val="000000" w:themeColor="text1"/>
          <w:sz w:val="20"/>
          <w:szCs w:val="20"/>
        </w:rPr>
        <w:t>enero d</w:t>
      </w:r>
      <w:r>
        <w:rPr>
          <w:rFonts w:ascii="Palatino Linotype" w:eastAsia="Calibri" w:hAnsi="Palatino Linotype" w:cs="Arial"/>
          <w:color w:val="000000" w:themeColor="text1"/>
          <w:sz w:val="20"/>
          <w:szCs w:val="20"/>
        </w:rPr>
        <w:t>e dos mil dieci</w:t>
      </w:r>
      <w:r w:rsidR="001C3F30">
        <w:rPr>
          <w:rFonts w:ascii="Palatino Linotype" w:eastAsia="Calibri" w:hAnsi="Palatino Linotype" w:cs="Arial"/>
          <w:color w:val="000000" w:themeColor="text1"/>
          <w:sz w:val="20"/>
          <w:szCs w:val="20"/>
        </w:rPr>
        <w:t>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C23B43" w:rsidRDefault="001271C5" w:rsidP="00BD0FBA">
      <w:pPr>
        <w:jc w:val="both"/>
      </w:pPr>
      <w:r w:rsidRPr="00C60EC0">
        <w:rPr>
          <w:rFonts w:ascii="Palatino Linotype" w:eastAsia="Calibri" w:hAnsi="Palatino Linotype" w:cs="Arial"/>
          <w:color w:val="000000" w:themeColor="text1"/>
          <w:sz w:val="18"/>
          <w:szCs w:val="18"/>
        </w:rPr>
        <w:t>YSM/A</w:t>
      </w:r>
      <w:r>
        <w:rPr>
          <w:rFonts w:ascii="Palatino Linotype" w:eastAsia="Calibri" w:hAnsi="Palatino Linotype" w:cs="Arial"/>
          <w:color w:val="000000" w:themeColor="text1"/>
          <w:sz w:val="18"/>
          <w:szCs w:val="18"/>
        </w:rPr>
        <w:t>MV</w:t>
      </w:r>
    </w:p>
    <w:sectPr w:rsidR="00C23B43"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F14" w:rsidRDefault="002C5F14" w:rsidP="001271C5">
      <w:r>
        <w:separator/>
      </w:r>
    </w:p>
  </w:endnote>
  <w:endnote w:type="continuationSeparator" w:id="0">
    <w:p w:rsidR="002C5F14" w:rsidRDefault="002C5F14" w:rsidP="0012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2C5F14" w:rsidP="00DC5C4E">
    <w:pPr>
      <w:pStyle w:val="Piedepgina"/>
      <w:tabs>
        <w:tab w:val="clear" w:pos="4252"/>
        <w:tab w:val="left" w:pos="4228"/>
      </w:tabs>
      <w:rPr>
        <w:rFonts w:ascii="Palatino Linotype" w:hAnsi="Palatino Linotype" w:cs="Arial"/>
        <w:b/>
        <w:bCs/>
        <w:sz w:val="20"/>
        <w:szCs w:val="20"/>
      </w:rPr>
    </w:pPr>
  </w:p>
  <w:p w:rsidR="00A42D66" w:rsidRDefault="002C5F14" w:rsidP="00DC5C4E">
    <w:pPr>
      <w:pStyle w:val="Piedepgina"/>
      <w:tabs>
        <w:tab w:val="clear" w:pos="4252"/>
        <w:tab w:val="left" w:pos="4228"/>
      </w:tabs>
      <w:rPr>
        <w:rFonts w:ascii="Palatino Linotype" w:hAnsi="Palatino Linotype" w:cs="Arial"/>
        <w:b/>
        <w:bCs/>
        <w:sz w:val="20"/>
        <w:szCs w:val="20"/>
      </w:rPr>
    </w:pPr>
  </w:p>
  <w:p w:rsidR="005C7C8F" w:rsidRDefault="002C5F14" w:rsidP="00DC5C4E">
    <w:pPr>
      <w:pStyle w:val="Piedepgina"/>
      <w:tabs>
        <w:tab w:val="clear" w:pos="4252"/>
        <w:tab w:val="left" w:pos="4228"/>
      </w:tabs>
      <w:rPr>
        <w:rFonts w:ascii="Palatino Linotype" w:hAnsi="Palatino Linotype" w:cs="Arial"/>
        <w:b/>
        <w:bCs/>
        <w:sz w:val="20"/>
        <w:szCs w:val="20"/>
      </w:rPr>
    </w:pPr>
  </w:p>
  <w:p w:rsidR="005C7C8F" w:rsidRDefault="002C5F14" w:rsidP="00DC5C4E">
    <w:pPr>
      <w:pStyle w:val="Piedepgina"/>
      <w:tabs>
        <w:tab w:val="clear" w:pos="4252"/>
        <w:tab w:val="left" w:pos="4228"/>
      </w:tabs>
      <w:rPr>
        <w:rFonts w:ascii="Palatino Linotype" w:hAnsi="Palatino Linotype" w:cs="Arial"/>
        <w:b/>
        <w:bCs/>
        <w:sz w:val="20"/>
        <w:szCs w:val="20"/>
      </w:rPr>
    </w:pPr>
  </w:p>
  <w:p w:rsidR="005C7C8F" w:rsidRDefault="002C5F14" w:rsidP="00DC5C4E">
    <w:pPr>
      <w:pStyle w:val="Piedepgina"/>
      <w:rPr>
        <w:rFonts w:ascii="Palatino Linotype" w:hAnsi="Palatino Linotype" w:cs="Arial"/>
        <w:b/>
        <w:bCs/>
        <w:sz w:val="20"/>
        <w:szCs w:val="20"/>
      </w:rPr>
    </w:pPr>
  </w:p>
  <w:p w:rsidR="005C7C8F" w:rsidRPr="00F12350" w:rsidRDefault="00887592"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12347">
      <w:rPr>
        <w:rFonts w:ascii="Palatino Linotype" w:hAnsi="Palatino Linotype" w:cs="Arial"/>
        <w:b/>
        <w:bCs/>
        <w:noProof/>
        <w:sz w:val="20"/>
        <w:szCs w:val="20"/>
      </w:rPr>
      <w:t>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12347">
      <w:rPr>
        <w:rFonts w:ascii="Palatino Linotype" w:hAnsi="Palatino Linotype" w:cs="Arial"/>
        <w:b/>
        <w:bCs/>
        <w:noProof/>
        <w:sz w:val="20"/>
        <w:szCs w:val="20"/>
      </w:rPr>
      <w:t>4</w:t>
    </w:r>
    <w:r w:rsidRPr="00F12350">
      <w:rPr>
        <w:rFonts w:ascii="Palatino Linotype" w:hAnsi="Palatino Linotype" w:cs="Arial"/>
        <w:b/>
        <w:bCs/>
        <w:sz w:val="20"/>
        <w:szCs w:val="20"/>
      </w:rPr>
      <w:fldChar w:fldCharType="end"/>
    </w:r>
  </w:p>
  <w:p w:rsidR="005C7C8F" w:rsidRDefault="002C5F14"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F14" w:rsidRDefault="002C5F14" w:rsidP="001271C5">
      <w:r>
        <w:separator/>
      </w:r>
    </w:p>
  </w:footnote>
  <w:footnote w:type="continuationSeparator" w:id="0">
    <w:p w:rsidR="002C5F14" w:rsidRDefault="002C5F14" w:rsidP="001271C5">
      <w:r>
        <w:continuationSeparator/>
      </w:r>
    </w:p>
  </w:footnote>
  <w:footnote w:id="1">
    <w:p w:rsidR="001C3F30" w:rsidRPr="001C3F30" w:rsidRDefault="001C3F30" w:rsidP="001C3F30">
      <w:pPr>
        <w:pStyle w:val="Textonotapie"/>
        <w:jc w:val="both"/>
        <w:rPr>
          <w:rFonts w:ascii="Palatino Linotype" w:hAnsi="Palatino Linotype"/>
          <w:sz w:val="16"/>
          <w:szCs w:val="16"/>
        </w:rPr>
      </w:pPr>
      <w:r>
        <w:rPr>
          <w:rStyle w:val="Refdenotaalpie"/>
        </w:rPr>
        <w:footnoteRef/>
      </w:r>
      <w:r>
        <w:t xml:space="preserve"> </w:t>
      </w:r>
      <w:r w:rsidRPr="001C3F30">
        <w:rPr>
          <w:rFonts w:ascii="Palatino Linotype" w:hAnsi="Palatino Linotype"/>
          <w:b/>
          <w:sz w:val="16"/>
          <w:szCs w:val="16"/>
        </w:rPr>
        <w:t>Artículo 192.</w:t>
      </w:r>
      <w:r w:rsidRPr="001C3F30">
        <w:rPr>
          <w:rFonts w:ascii="Palatino Linotype" w:hAnsi="Palatino Linotype"/>
          <w:sz w:val="16"/>
          <w:szCs w:val="16"/>
        </w:rPr>
        <w:t xml:space="preserve"> El recurso será sobreseído, en todo o en parte, cuando una vez admitido, se actualicen alguno de los siguientes supuestos:</w:t>
      </w:r>
    </w:p>
    <w:p w:rsidR="001C3F30" w:rsidRPr="001C3F30" w:rsidRDefault="001C3F30" w:rsidP="001C3F30">
      <w:pPr>
        <w:pStyle w:val="Textonotapie"/>
        <w:jc w:val="both"/>
        <w:rPr>
          <w:rFonts w:ascii="Palatino Linotype" w:hAnsi="Palatino Linotype"/>
          <w:sz w:val="16"/>
          <w:szCs w:val="16"/>
        </w:rPr>
      </w:pPr>
      <w:r w:rsidRPr="001C3F30">
        <w:rPr>
          <w:rFonts w:ascii="Palatino Linotype" w:hAnsi="Palatino Linotype"/>
          <w:sz w:val="16"/>
          <w:szCs w:val="16"/>
        </w:rPr>
        <w:t>…</w:t>
      </w:r>
    </w:p>
    <w:p w:rsidR="001C3F30" w:rsidRPr="001C3F30" w:rsidRDefault="001C3F30" w:rsidP="001C3F30">
      <w:pPr>
        <w:pStyle w:val="Textonotapie"/>
        <w:jc w:val="both"/>
        <w:rPr>
          <w:rFonts w:ascii="Palatino Linotype" w:hAnsi="Palatino Linotype"/>
          <w:sz w:val="16"/>
          <w:szCs w:val="16"/>
          <w:lang w:val="es-MX"/>
        </w:rPr>
      </w:pPr>
      <w:r w:rsidRPr="001C3F30">
        <w:rPr>
          <w:rFonts w:ascii="Palatino Linotype" w:hAnsi="Palatino Linotype"/>
          <w:b/>
          <w:sz w:val="16"/>
          <w:szCs w:val="16"/>
        </w:rPr>
        <w:t>V.</w:t>
      </w:r>
      <w:r w:rsidRPr="001C3F30">
        <w:rPr>
          <w:rFonts w:ascii="Palatino Linotype" w:hAnsi="Palatino Linotype"/>
          <w:sz w:val="16"/>
          <w:szCs w:val="16"/>
        </w:rPr>
        <w:t xml:space="preserve"> Cuando por cualquier motivo quede sin materia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2C5F1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829" w:rsidRDefault="00887592"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6AD00281" wp14:editId="48FD0E17">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2C5F14" w:rsidP="00DC5C4E">
    <w:pPr>
      <w:pStyle w:val="Encabezado"/>
      <w:tabs>
        <w:tab w:val="clear" w:pos="4252"/>
        <w:tab w:val="clear" w:pos="8504"/>
        <w:tab w:val="left" w:pos="2326"/>
      </w:tabs>
      <w:jc w:val="right"/>
    </w:pPr>
  </w:p>
  <w:p w:rsidR="005C7C8F" w:rsidRDefault="00887592" w:rsidP="00DC5C4E">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5C7C8F" w:rsidRDefault="00887592" w:rsidP="001271C5">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w:t>
    </w:r>
    <w:r>
      <w:rPr>
        <w:rFonts w:ascii="Palatino Linotype" w:hAnsi="Palatino Linotype" w:cs="Arial"/>
        <w:sz w:val="20"/>
        <w:szCs w:val="20"/>
      </w:rPr>
      <w:t xml:space="preserve"> DE REVISIÓN</w:t>
    </w:r>
    <w:r w:rsidR="001271C5">
      <w:rPr>
        <w:rFonts w:ascii="Palatino Linotype" w:hAnsi="Palatino Linotype" w:cs="Arial"/>
        <w:sz w:val="20"/>
        <w:szCs w:val="20"/>
      </w:rPr>
      <w:t xml:space="preserve"> 04395</w:t>
    </w:r>
    <w:r>
      <w:rPr>
        <w:rFonts w:ascii="Palatino Linotype" w:hAnsi="Palatino Linotype" w:cs="Arial"/>
        <w:sz w:val="20"/>
        <w:szCs w:val="20"/>
      </w:rPr>
      <w:t>/INFOEM/IP</w:t>
    </w:r>
    <w:r w:rsidRPr="00706042">
      <w:rPr>
        <w:rFonts w:ascii="Palatino Linotype" w:hAnsi="Palatino Linotype" w:cs="Arial"/>
        <w:sz w:val="20"/>
        <w:szCs w:val="20"/>
      </w:rPr>
      <w:t>/RR/201</w:t>
    </w:r>
    <w:r w:rsidR="001271C5">
      <w:rPr>
        <w:rFonts w:ascii="Palatino Linotype" w:hAnsi="Palatino Linotype" w:cs="Arial"/>
        <w:sz w:val="20"/>
        <w:szCs w:val="20"/>
      </w:rPr>
      <w:t>8</w:t>
    </w:r>
  </w:p>
  <w:p w:rsidR="002E3829" w:rsidRDefault="002C5F14"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85.25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2C5F1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85806"/>
    <w:multiLevelType w:val="hybridMultilevel"/>
    <w:tmpl w:val="ABCE763A"/>
    <w:lvl w:ilvl="0" w:tplc="080A000F">
      <w:start w:val="1"/>
      <w:numFmt w:val="decimal"/>
      <w:lvlText w:val="%1."/>
      <w:lvlJc w:val="left"/>
      <w:pPr>
        <w:ind w:left="3196" w:hanging="360"/>
      </w:pPr>
    </w:lvl>
    <w:lvl w:ilvl="1" w:tplc="080A0019" w:tentative="1">
      <w:start w:val="1"/>
      <w:numFmt w:val="lowerLetter"/>
      <w:lvlText w:val="%2."/>
      <w:lvlJc w:val="left"/>
      <w:pPr>
        <w:ind w:left="3916" w:hanging="360"/>
      </w:pPr>
    </w:lvl>
    <w:lvl w:ilvl="2" w:tplc="080A001B" w:tentative="1">
      <w:start w:val="1"/>
      <w:numFmt w:val="lowerRoman"/>
      <w:lvlText w:val="%3."/>
      <w:lvlJc w:val="right"/>
      <w:pPr>
        <w:ind w:left="4636" w:hanging="180"/>
      </w:pPr>
    </w:lvl>
    <w:lvl w:ilvl="3" w:tplc="080A000F" w:tentative="1">
      <w:start w:val="1"/>
      <w:numFmt w:val="decimal"/>
      <w:lvlText w:val="%4."/>
      <w:lvlJc w:val="left"/>
      <w:pPr>
        <w:ind w:left="5356" w:hanging="360"/>
      </w:pPr>
    </w:lvl>
    <w:lvl w:ilvl="4" w:tplc="080A0019" w:tentative="1">
      <w:start w:val="1"/>
      <w:numFmt w:val="lowerLetter"/>
      <w:lvlText w:val="%5."/>
      <w:lvlJc w:val="left"/>
      <w:pPr>
        <w:ind w:left="6076" w:hanging="360"/>
      </w:pPr>
    </w:lvl>
    <w:lvl w:ilvl="5" w:tplc="080A001B" w:tentative="1">
      <w:start w:val="1"/>
      <w:numFmt w:val="lowerRoman"/>
      <w:lvlText w:val="%6."/>
      <w:lvlJc w:val="right"/>
      <w:pPr>
        <w:ind w:left="6796" w:hanging="180"/>
      </w:pPr>
    </w:lvl>
    <w:lvl w:ilvl="6" w:tplc="080A000F" w:tentative="1">
      <w:start w:val="1"/>
      <w:numFmt w:val="decimal"/>
      <w:lvlText w:val="%7."/>
      <w:lvlJc w:val="left"/>
      <w:pPr>
        <w:ind w:left="7516" w:hanging="360"/>
      </w:pPr>
    </w:lvl>
    <w:lvl w:ilvl="7" w:tplc="080A0019" w:tentative="1">
      <w:start w:val="1"/>
      <w:numFmt w:val="lowerLetter"/>
      <w:lvlText w:val="%8."/>
      <w:lvlJc w:val="left"/>
      <w:pPr>
        <w:ind w:left="8236" w:hanging="360"/>
      </w:pPr>
    </w:lvl>
    <w:lvl w:ilvl="8" w:tplc="080A001B" w:tentative="1">
      <w:start w:val="1"/>
      <w:numFmt w:val="lowerRoman"/>
      <w:lvlText w:val="%9."/>
      <w:lvlJc w:val="right"/>
      <w:pPr>
        <w:ind w:left="8956" w:hanging="180"/>
      </w:pPr>
    </w:lvl>
  </w:abstractNum>
  <w:abstractNum w:abstractNumId="1" w15:restartNumberingAfterBreak="0">
    <w:nsid w:val="450C1175"/>
    <w:multiLevelType w:val="hybridMultilevel"/>
    <w:tmpl w:val="86029B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C5"/>
    <w:rsid w:val="00012347"/>
    <w:rsid w:val="0006783E"/>
    <w:rsid w:val="001271C5"/>
    <w:rsid w:val="001C3F30"/>
    <w:rsid w:val="00227FB6"/>
    <w:rsid w:val="002C5F14"/>
    <w:rsid w:val="00887592"/>
    <w:rsid w:val="00BD0FBA"/>
    <w:rsid w:val="00C23B43"/>
    <w:rsid w:val="00C50BDC"/>
    <w:rsid w:val="00C9714C"/>
    <w:rsid w:val="00F71A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DCF53BA-F352-47EC-AC90-01AC171F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1C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71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271C5"/>
    <w:rPr>
      <w:rFonts w:eastAsiaTheme="minorEastAsia"/>
      <w:sz w:val="24"/>
      <w:szCs w:val="24"/>
      <w:lang w:val="es-ES_tradnl" w:eastAsia="es-ES"/>
    </w:rPr>
  </w:style>
  <w:style w:type="paragraph" w:styleId="Piedepgina">
    <w:name w:val="footer"/>
    <w:basedOn w:val="Normal"/>
    <w:link w:val="PiedepginaCar"/>
    <w:uiPriority w:val="99"/>
    <w:unhideWhenUsed/>
    <w:rsid w:val="001271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271C5"/>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271C5"/>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271C5"/>
    <w:pPr>
      <w:ind w:left="708"/>
    </w:pPr>
    <w:rPr>
      <w:sz w:val="22"/>
      <w:szCs w:val="22"/>
      <w:lang w:eastAsia="en-US"/>
    </w:rPr>
  </w:style>
  <w:style w:type="paragraph" w:styleId="Sinespaciado">
    <w:name w:val="No Spacing"/>
    <w:aliases w:val="Francesa"/>
    <w:link w:val="SinespaciadoCar"/>
    <w:uiPriority w:val="1"/>
    <w:qFormat/>
    <w:rsid w:val="00C50BD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50BDC"/>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1C3F30"/>
    <w:rPr>
      <w:sz w:val="20"/>
      <w:szCs w:val="20"/>
    </w:rPr>
  </w:style>
  <w:style w:type="character" w:customStyle="1" w:styleId="TextonotapieCar">
    <w:name w:val="Texto nota pie Car"/>
    <w:basedOn w:val="Fuentedeprrafopredeter"/>
    <w:link w:val="Textonotapie"/>
    <w:uiPriority w:val="99"/>
    <w:semiHidden/>
    <w:rsid w:val="001C3F30"/>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1C3F30"/>
    <w:rPr>
      <w:vertAlign w:val="superscript"/>
    </w:rPr>
  </w:style>
  <w:style w:type="paragraph" w:styleId="Textodeglobo">
    <w:name w:val="Balloon Text"/>
    <w:basedOn w:val="Normal"/>
    <w:link w:val="TextodegloboCar"/>
    <w:uiPriority w:val="99"/>
    <w:semiHidden/>
    <w:unhideWhenUsed/>
    <w:rsid w:val="001C3F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30"/>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21A02-6F3A-4CA7-BCEC-FA21454A3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875</Words>
  <Characters>4813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4</cp:revision>
  <cp:lastPrinted>2019-02-05T18:12:00Z</cp:lastPrinted>
  <dcterms:created xsi:type="dcterms:W3CDTF">2019-01-31T21:16:00Z</dcterms:created>
  <dcterms:modified xsi:type="dcterms:W3CDTF">2019-02-15T20:08:00Z</dcterms:modified>
</cp:coreProperties>
</file>